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Тренинг коммуникативной компетентности</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«Тренинг коммуникативной компетентности»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«Тренинг коммуникативной компетентности».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«Тренинг коммуникативной компетентности»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«Тренинг коммуникативной компетентности» относится к обязательной части, является дисциплиной Блока Б1. «Дисциплины (модули)». Модуль "Деятельность преподавателя в вузе"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Медиация в современных общественных отношениях</w:t>
            </w:r>
          </w:p>
          <w:p>
            <w:pPr>
              <w:jc w:val="center"/>
              <w:spacing w:after="0" w:line="240" w:lineRule="auto"/>
              <w:rPr>
                <w:sz w:val="22"/>
                <w:szCs w:val="22"/>
              </w:rPr>
            </w:pPr>
            <w:r>
              <w:rPr>
                <w:rFonts w:ascii="Times New Roman" w:hAnsi="Times New Roman" w:cs="Times New Roman"/>
                <w:color w:val="#000000"/>
                <w:sz w:val="22"/>
                <w:szCs w:val="22"/>
              </w:rPr>
              <w:t> Формирование академической мобильности студента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Технологии сотрудничества образовательного учреждения с семьёй</w:t>
            </w:r>
          </w:p>
          <w:p>
            <w:pPr>
              <w:jc w:val="center"/>
              <w:spacing w:after="0" w:line="240" w:lineRule="auto"/>
              <w:rPr>
                <w:sz w:val="22"/>
                <w:szCs w:val="22"/>
              </w:rPr>
            </w:pPr>
            <w:r>
              <w:rPr>
                <w:rFonts w:ascii="Times New Roman" w:hAnsi="Times New Roman" w:cs="Times New Roman"/>
                <w:color w:val="#000000"/>
                <w:sz w:val="22"/>
                <w:szCs w:val="22"/>
              </w:rPr>
              <w:t> Управление конфликтами</w:t>
            </w:r>
          </w:p>
          <w:p>
            <w:pPr>
              <w:jc w:val="center"/>
              <w:spacing w:after="0" w:line="240" w:lineRule="auto"/>
              <w:rPr>
                <w:sz w:val="22"/>
                <w:szCs w:val="22"/>
              </w:rPr>
            </w:pPr>
            <w:r>
              <w:rPr>
                <w:rFonts w:ascii="Times New Roman" w:hAnsi="Times New Roman" w:cs="Times New Roman"/>
                <w:color w:val="#000000"/>
                <w:sz w:val="22"/>
                <w:szCs w:val="22"/>
              </w:rPr>
              <w:t> Методология и методика конфликтологических исследований</w:t>
            </w:r>
          </w:p>
          <w:p>
            <w:pPr>
              <w:jc w:val="center"/>
              <w:spacing w:after="0" w:line="240" w:lineRule="auto"/>
              <w:rPr>
                <w:sz w:val="22"/>
                <w:szCs w:val="22"/>
              </w:rPr>
            </w:pPr>
            <w:r>
              <w:rPr>
                <w:rFonts w:ascii="Times New Roman" w:hAnsi="Times New Roman" w:cs="Times New Roman"/>
                <w:color w:val="#000000"/>
                <w:sz w:val="22"/>
                <w:szCs w:val="22"/>
              </w:rPr>
              <w:t> Мониторинг конфликтных ситуаций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Коммуникативная компетентность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w:t>
            </w:r>
          </w:p>
          <w:p>
            <w:pPr>
              <w:jc w:val="left"/>
              <w:spacing w:after="0" w:line="240" w:lineRule="auto"/>
              <w:rPr>
                <w:sz w:val="24"/>
                <w:szCs w:val="24"/>
              </w:rPr>
            </w:pPr>
            <w:r>
              <w:rPr>
                <w:rFonts w:ascii="Times New Roman" w:hAnsi="Times New Roman" w:cs="Times New Roman"/>
                <w:color w:val="#000000"/>
                <w:sz w:val="24"/>
                <w:szCs w:val="24"/>
              </w:rPr>
              <w:t> коммуникативной</w:t>
            </w:r>
          </w:p>
          <w:p>
            <w:pPr>
              <w:jc w:val="left"/>
              <w:spacing w:after="0" w:line="240" w:lineRule="auto"/>
              <w:rPr>
                <w:sz w:val="24"/>
                <w:szCs w:val="24"/>
              </w:rPr>
            </w:pPr>
            <w:r>
              <w:rPr>
                <w:rFonts w:ascii="Times New Roman" w:hAnsi="Times New Roman" w:cs="Times New Roman"/>
                <w:color w:val="#000000"/>
                <w:sz w:val="24"/>
                <w:szCs w:val="24"/>
              </w:rPr>
              <w:t>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Строение и компоненты коммуникативной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Развитие коммуникативной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причины затруднений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Тренинг коммуникативной компетености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Психологические аспекты и условия эффективного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5.Психологические барьеры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3.Речевое воздействие как аспект профессиональной коммуникативной</w:t>
            </w:r>
          </w:p>
          <w:p>
            <w:pPr>
              <w:jc w:val="left"/>
              <w:spacing w:after="0" w:line="240" w:lineRule="auto"/>
              <w:rPr>
                <w:sz w:val="24"/>
                <w:szCs w:val="24"/>
              </w:rPr>
            </w:pPr>
            <w:r>
              <w:rPr>
                <w:rFonts w:ascii="Times New Roman" w:hAnsi="Times New Roman" w:cs="Times New Roman"/>
                <w:color w:val="#000000"/>
                <w:sz w:val="24"/>
                <w:szCs w:val="24"/>
              </w:rPr>
              <w:t>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Жанры профессиональной педагогической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w:t>
            </w:r>
          </w:p>
          <w:p>
            <w:pPr>
              <w:jc w:val="center"/>
              <w:spacing w:after="0" w:line="240" w:lineRule="auto"/>
              <w:rPr>
                <w:sz w:val="24"/>
                <w:szCs w:val="24"/>
              </w:rPr>
            </w:pPr>
            <w:r>
              <w:rPr>
                <w:rFonts w:ascii="Times New Roman" w:hAnsi="Times New Roman" w:cs="Times New Roman"/>
                <w:b/>
                <w:color w:val="#000000"/>
                <w:sz w:val="24"/>
                <w:szCs w:val="24"/>
              </w:rPr>
              <w:t> коммуникативной</w:t>
            </w:r>
          </w:p>
          <w:p>
            <w:pPr>
              <w:jc w:val="center"/>
              <w:spacing w:after="0" w:line="240" w:lineRule="auto"/>
              <w:rPr>
                <w:sz w:val="24"/>
                <w:szCs w:val="24"/>
              </w:rPr>
            </w:pPr>
            <w:r>
              <w:rPr>
                <w:rFonts w:ascii="Times New Roman" w:hAnsi="Times New Roman" w:cs="Times New Roman"/>
                <w:b/>
                <w:color w:val="#000000"/>
                <w:sz w:val="24"/>
                <w:szCs w:val="24"/>
              </w:rPr>
              <w:t> компетентности.</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курса. Основные проблемы. Основные понятия. Компетентность и исполнение.</w:t>
            </w:r>
          </w:p>
          <w:p>
            <w:pPr>
              <w:jc w:val="both"/>
              <w:spacing w:after="0" w:line="240" w:lineRule="auto"/>
              <w:rPr>
                <w:sz w:val="24"/>
                <w:szCs w:val="24"/>
              </w:rPr>
            </w:pPr>
            <w:r>
              <w:rPr>
                <w:rFonts w:ascii="Times New Roman" w:hAnsi="Times New Roman" w:cs="Times New Roman"/>
                <w:color w:val="#000000"/>
                <w:sz w:val="24"/>
                <w:szCs w:val="24"/>
              </w:rPr>
              <w:t> Компетентность и компетенция. Профессиональная, социальная, личностная и коммуникативная компетентность.</w:t>
            </w:r>
          </w:p>
          <w:p>
            <w:pPr>
              <w:jc w:val="both"/>
              <w:spacing w:after="0" w:line="240" w:lineRule="auto"/>
              <w:rPr>
                <w:sz w:val="24"/>
                <w:szCs w:val="24"/>
              </w:rPr>
            </w:pPr>
            <w:r>
              <w:rPr>
                <w:rFonts w:ascii="Times New Roman" w:hAnsi="Times New Roman" w:cs="Times New Roman"/>
                <w:color w:val="#000000"/>
                <w:sz w:val="24"/>
                <w:szCs w:val="24"/>
              </w:rPr>
              <w:t> Подходы к пониманию «природы» коммуникативной компетентности /некомпетентности:Поведенческий,Персонологический, Когнитивный, Когнитивно-поведенческий (Теория 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Строение и компоненты коммуникативной компетентности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Знания, умения и диспозиции. Теоретические и эмпирические модели.</w:t>
            </w:r>
          </w:p>
          <w:p>
            <w:pPr>
              <w:jc w:val="both"/>
              <w:spacing w:after="0" w:line="240" w:lineRule="auto"/>
              <w:rPr>
                <w:sz w:val="24"/>
                <w:szCs w:val="24"/>
              </w:rPr>
            </w:pPr>
            <w:r>
              <w:rPr>
                <w:rFonts w:ascii="Times New Roman" w:hAnsi="Times New Roman" w:cs="Times New Roman"/>
                <w:color w:val="#000000"/>
                <w:sz w:val="24"/>
                <w:szCs w:val="24"/>
              </w:rPr>
              <w:t> Умозрительные модели. "Редукционистские" модели, (когнитивная сложность).</w:t>
            </w:r>
          </w:p>
          <w:p>
            <w:pPr>
              <w:jc w:val="both"/>
              <w:spacing w:after="0" w:line="240" w:lineRule="auto"/>
              <w:rPr>
                <w:sz w:val="24"/>
                <w:szCs w:val="24"/>
              </w:rPr>
            </w:pPr>
            <w:r>
              <w:rPr>
                <w:rFonts w:ascii="Times New Roman" w:hAnsi="Times New Roman" w:cs="Times New Roman"/>
                <w:color w:val="#000000"/>
                <w:sz w:val="24"/>
                <w:szCs w:val="24"/>
              </w:rPr>
              <w:t> Эмпирическая (критериальная) модель М.Аргайла.</w:t>
            </w:r>
          </w:p>
          <w:p>
            <w:pPr>
              <w:jc w:val="both"/>
              <w:spacing w:after="0" w:line="240" w:lineRule="auto"/>
              <w:rPr>
                <w:sz w:val="24"/>
                <w:szCs w:val="24"/>
              </w:rPr>
            </w:pPr>
            <w:r>
              <w:rPr>
                <w:rFonts w:ascii="Times New Roman" w:hAnsi="Times New Roman" w:cs="Times New Roman"/>
                <w:color w:val="#000000"/>
                <w:sz w:val="24"/>
                <w:szCs w:val="24"/>
              </w:rPr>
              <w:t> Процессуальная модель компетентности. Уровневая модель компетентности.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Развитие коммуникативной компетентности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Психологические аспекты и условия эффективного общения.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коммуникативных навыков в тренинге.</w:t>
            </w:r>
          </w:p>
          <w:p>
            <w:pPr>
              <w:jc w:val="both"/>
              <w:spacing w:after="0" w:line="240" w:lineRule="auto"/>
              <w:rPr>
                <w:sz w:val="24"/>
                <w:szCs w:val="24"/>
              </w:rPr>
            </w:pPr>
            <w:r>
              <w:rPr>
                <w:rFonts w:ascii="Times New Roman" w:hAnsi="Times New Roman" w:cs="Times New Roman"/>
                <w:color w:val="#000000"/>
                <w:sz w:val="24"/>
                <w:szCs w:val="24"/>
              </w:rPr>
              <w:t>  2.Тренинг как метод активного социального</w:t>
            </w:r>
          </w:p>
          <w:p>
            <w:pPr>
              <w:jc w:val="both"/>
              <w:spacing w:after="0" w:line="240" w:lineRule="auto"/>
              <w:rPr>
                <w:sz w:val="24"/>
                <w:szCs w:val="24"/>
              </w:rPr>
            </w:pPr>
            <w:r>
              <w:rPr>
                <w:rFonts w:ascii="Times New Roman" w:hAnsi="Times New Roman" w:cs="Times New Roman"/>
                <w:color w:val="#000000"/>
                <w:sz w:val="24"/>
                <w:szCs w:val="24"/>
              </w:rPr>
              <w:t> обучения. История его возникновения.</w:t>
            </w:r>
          </w:p>
          <w:p>
            <w:pPr>
              <w:jc w:val="both"/>
              <w:spacing w:after="0" w:line="240" w:lineRule="auto"/>
              <w:rPr>
                <w:sz w:val="24"/>
                <w:szCs w:val="24"/>
              </w:rPr>
            </w:pPr>
            <w:r>
              <w:rPr>
                <w:rFonts w:ascii="Times New Roman" w:hAnsi="Times New Roman" w:cs="Times New Roman"/>
                <w:color w:val="#000000"/>
                <w:sz w:val="24"/>
                <w:szCs w:val="24"/>
              </w:rPr>
              <w:t> 3.Преимущества активных групповых методов для</w:t>
            </w:r>
          </w:p>
          <w:p>
            <w:pPr>
              <w:jc w:val="both"/>
              <w:spacing w:after="0" w:line="240" w:lineRule="auto"/>
              <w:rPr>
                <w:sz w:val="24"/>
                <w:szCs w:val="24"/>
              </w:rPr>
            </w:pPr>
            <w:r>
              <w:rPr>
                <w:rFonts w:ascii="Times New Roman" w:hAnsi="Times New Roman" w:cs="Times New Roman"/>
                <w:color w:val="#000000"/>
                <w:sz w:val="24"/>
                <w:szCs w:val="24"/>
              </w:rPr>
              <w:t> развития способностей в общении и возможности тренинга коммуникативных навыков.</w:t>
            </w:r>
          </w:p>
          <w:p>
            <w:pPr>
              <w:jc w:val="both"/>
              <w:spacing w:after="0" w:line="240" w:lineRule="auto"/>
              <w:rPr>
                <w:sz w:val="24"/>
                <w:szCs w:val="24"/>
              </w:rPr>
            </w:pPr>
            <w:r>
              <w:rPr>
                <w:rFonts w:ascii="Times New Roman" w:hAnsi="Times New Roman" w:cs="Times New Roman"/>
                <w:color w:val="#000000"/>
                <w:sz w:val="24"/>
                <w:szCs w:val="24"/>
              </w:rPr>
              <w:t> 4.Ознакомление с основными принципами тренинга коммуникативных навыков. 5.Создание благоприятных условий для работы.</w:t>
            </w:r>
          </w:p>
          <w:p>
            <w:pPr>
              <w:jc w:val="both"/>
              <w:spacing w:after="0" w:line="240" w:lineRule="auto"/>
              <w:rPr>
                <w:sz w:val="24"/>
                <w:szCs w:val="24"/>
              </w:rPr>
            </w:pPr>
            <w:r>
              <w:rPr>
                <w:rFonts w:ascii="Times New Roman" w:hAnsi="Times New Roman" w:cs="Times New Roman"/>
                <w:color w:val="#000000"/>
                <w:sz w:val="24"/>
                <w:szCs w:val="24"/>
              </w:rPr>
              <w:t> 6.Процедура знакомства. Круг знакомства: представление,</w:t>
            </w:r>
          </w:p>
          <w:p>
            <w:pPr>
              <w:jc w:val="both"/>
              <w:spacing w:after="0" w:line="240" w:lineRule="auto"/>
              <w:rPr>
                <w:sz w:val="24"/>
                <w:szCs w:val="24"/>
              </w:rPr>
            </w:pPr>
            <w:r>
              <w:rPr>
                <w:rFonts w:ascii="Times New Roman" w:hAnsi="Times New Roman" w:cs="Times New Roman"/>
                <w:color w:val="#000000"/>
                <w:sz w:val="24"/>
                <w:szCs w:val="24"/>
              </w:rPr>
              <w:t> прояснение индивидуальных и групповых целей.</w:t>
            </w:r>
          </w:p>
          <w:p>
            <w:pPr>
              <w:jc w:val="both"/>
              <w:spacing w:after="0" w:line="240" w:lineRule="auto"/>
              <w:rPr>
                <w:sz w:val="24"/>
                <w:szCs w:val="24"/>
              </w:rPr>
            </w:pPr>
            <w:r>
              <w:rPr>
                <w:rFonts w:ascii="Times New Roman" w:hAnsi="Times New Roman" w:cs="Times New Roman"/>
                <w:color w:val="#000000"/>
                <w:sz w:val="24"/>
                <w:szCs w:val="24"/>
              </w:rPr>
              <w:t> 7.Процедура принятия правил жизни в группе.</w:t>
            </w:r>
          </w:p>
          <w:p>
            <w:pPr>
              <w:jc w:val="both"/>
              <w:spacing w:after="0" w:line="240" w:lineRule="auto"/>
              <w:rPr>
                <w:sz w:val="24"/>
                <w:szCs w:val="24"/>
              </w:rPr>
            </w:pPr>
            <w:r>
              <w:rPr>
                <w:rFonts w:ascii="Times New Roman" w:hAnsi="Times New Roman" w:cs="Times New Roman"/>
                <w:color w:val="#000000"/>
                <w:sz w:val="24"/>
                <w:szCs w:val="24"/>
              </w:rPr>
              <w:t> 8.Начало освоения активного стиля общения.</w:t>
            </w:r>
          </w:p>
          <w:p>
            <w:pPr>
              <w:jc w:val="both"/>
              <w:spacing w:after="0" w:line="240" w:lineRule="auto"/>
              <w:rPr>
                <w:sz w:val="24"/>
                <w:szCs w:val="24"/>
              </w:rPr>
            </w:pPr>
            <w:r>
              <w:rPr>
                <w:rFonts w:ascii="Times New Roman" w:hAnsi="Times New Roman" w:cs="Times New Roman"/>
                <w:color w:val="#000000"/>
                <w:sz w:val="24"/>
                <w:szCs w:val="24"/>
              </w:rPr>
              <w:t> 9.Рефлексия.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5.Психологические барьеры общения.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1.Искренность, открытость, взаимное доверие и уважение собеседников как условие</w:t>
            </w:r>
          </w:p>
          <w:p>
            <w:pPr>
              <w:jc w:val="both"/>
              <w:spacing w:after="0" w:line="240" w:lineRule="auto"/>
              <w:rPr>
                <w:sz w:val="24"/>
                <w:szCs w:val="24"/>
              </w:rPr>
            </w:pPr>
            <w:r>
              <w:rPr>
                <w:rFonts w:ascii="Times New Roman" w:hAnsi="Times New Roman" w:cs="Times New Roman"/>
                <w:color w:val="#000000"/>
                <w:sz w:val="24"/>
                <w:szCs w:val="24"/>
              </w:rPr>
              <w:t> эффективности в общении. 2.Эмпатия и ее значение в межличностном взаимодействии.</w:t>
            </w:r>
          </w:p>
          <w:p>
            <w:pPr>
              <w:jc w:val="both"/>
              <w:spacing w:after="0" w:line="240" w:lineRule="auto"/>
              <w:rPr>
                <w:sz w:val="24"/>
                <w:szCs w:val="24"/>
              </w:rPr>
            </w:pPr>
            <w:r>
              <w:rPr>
                <w:rFonts w:ascii="Times New Roman" w:hAnsi="Times New Roman" w:cs="Times New Roman"/>
                <w:color w:val="#000000"/>
                <w:sz w:val="24"/>
                <w:szCs w:val="24"/>
              </w:rPr>
              <w:t> 3.Упражнения на развитие способности к эмпатическому пониманию собеседника.</w:t>
            </w:r>
          </w:p>
          <w:p>
            <w:pPr>
              <w:jc w:val="both"/>
              <w:spacing w:after="0" w:line="240" w:lineRule="auto"/>
              <w:rPr>
                <w:sz w:val="24"/>
                <w:szCs w:val="24"/>
              </w:rPr>
            </w:pPr>
            <w:r>
              <w:rPr>
                <w:rFonts w:ascii="Times New Roman" w:hAnsi="Times New Roman" w:cs="Times New Roman"/>
                <w:color w:val="#000000"/>
                <w:sz w:val="24"/>
                <w:szCs w:val="24"/>
              </w:rPr>
              <w:t> 4. Позиционно-ролевой аспект общения.Упражнения на выявление предпочитаемой позиции в общении, расширение</w:t>
            </w:r>
          </w:p>
          <w:p>
            <w:pPr>
              <w:jc w:val="both"/>
              <w:spacing w:after="0" w:line="240" w:lineRule="auto"/>
              <w:rPr>
                <w:sz w:val="24"/>
                <w:szCs w:val="24"/>
              </w:rPr>
            </w:pPr>
            <w:r>
              <w:rPr>
                <w:rFonts w:ascii="Times New Roman" w:hAnsi="Times New Roman" w:cs="Times New Roman"/>
                <w:color w:val="#000000"/>
                <w:sz w:val="24"/>
                <w:szCs w:val="24"/>
              </w:rPr>
              <w:t> позиционно-ролевого репертуара. 5.Рефлексия.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причины затруднений в общении</w:t>
            </w:r>
          </w:p>
        </w:tc>
      </w:tr>
      <w:tr>
        <w:trPr>
          <w:trHeight w:hRule="exact" w:val="21.31501"/>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1.Классификация причин затрудненного общения.</w:t>
            </w:r>
          </w:p>
          <w:p>
            <w:pPr>
              <w:jc w:val="left"/>
              <w:spacing w:after="0" w:line="240" w:lineRule="auto"/>
              <w:rPr>
                <w:sz w:val="24"/>
                <w:szCs w:val="24"/>
              </w:rPr>
            </w:pPr>
            <w:r>
              <w:rPr>
                <w:rFonts w:ascii="Times New Roman" w:hAnsi="Times New Roman" w:cs="Times New Roman"/>
                <w:color w:val="#000000"/>
                <w:sz w:val="24"/>
                <w:szCs w:val="24"/>
              </w:rPr>
              <w:t> 2. Межкультурные и</w:t>
            </w:r>
          </w:p>
          <w:p>
            <w:pPr>
              <w:jc w:val="left"/>
              <w:spacing w:after="0" w:line="240" w:lineRule="auto"/>
              <w:rPr>
                <w:sz w:val="24"/>
                <w:szCs w:val="24"/>
              </w:rPr>
            </w:pPr>
            <w:r>
              <w:rPr>
                <w:rFonts w:ascii="Times New Roman" w:hAnsi="Times New Roman" w:cs="Times New Roman"/>
                <w:color w:val="#000000"/>
                <w:sz w:val="24"/>
                <w:szCs w:val="24"/>
              </w:rPr>
              <w:t> культурно-специфические причины затрудненного общения.</w:t>
            </w:r>
          </w:p>
        </w:tc>
      </w:tr>
      <w:tr>
        <w:trPr>
          <w:trHeight w:hRule="exact" w:val="8.08504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3.Речевое воздействие как аспект профессиональной коммуникативной</w:t>
            </w:r>
          </w:p>
          <w:p>
            <w:pPr>
              <w:jc w:val="center"/>
              <w:spacing w:after="0" w:line="240" w:lineRule="auto"/>
              <w:rPr>
                <w:sz w:val="24"/>
                <w:szCs w:val="24"/>
              </w:rPr>
            </w:pPr>
            <w:r>
              <w:rPr>
                <w:rFonts w:ascii="Times New Roman" w:hAnsi="Times New Roman" w:cs="Times New Roman"/>
                <w:b/>
                <w:color w:val="#000000"/>
                <w:sz w:val="24"/>
                <w:szCs w:val="24"/>
              </w:rPr>
              <w:t> компетентности.</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Природа речевой деятельности.</w:t>
            </w:r>
          </w:p>
          <w:p>
            <w:pPr>
              <w:jc w:val="left"/>
              <w:spacing w:after="0" w:line="240" w:lineRule="auto"/>
              <w:rPr>
                <w:sz w:val="24"/>
                <w:szCs w:val="24"/>
              </w:rPr>
            </w:pPr>
            <w:r>
              <w:rPr>
                <w:rFonts w:ascii="Times New Roman" w:hAnsi="Times New Roman" w:cs="Times New Roman"/>
                <w:color w:val="#000000"/>
                <w:sz w:val="24"/>
                <w:szCs w:val="24"/>
              </w:rPr>
              <w:t> 2. Основы теории речевого воздействия.</w:t>
            </w:r>
          </w:p>
          <w:p>
            <w:pPr>
              <w:jc w:val="left"/>
              <w:spacing w:after="0" w:line="240" w:lineRule="auto"/>
              <w:rPr>
                <w:sz w:val="24"/>
                <w:szCs w:val="24"/>
              </w:rPr>
            </w:pPr>
            <w:r>
              <w:rPr>
                <w:rFonts w:ascii="Times New Roman" w:hAnsi="Times New Roman" w:cs="Times New Roman"/>
                <w:color w:val="#000000"/>
                <w:sz w:val="24"/>
                <w:szCs w:val="24"/>
              </w:rPr>
              <w:t> 3. Формы и средства речевого воздействия в педагогическом общении.</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Жанры профессиональной педагогической коммуникации.</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Жанры речевого общения. Классификация речевых жанров. 2. Формирование речевых</w:t>
            </w:r>
          </w:p>
          <w:p>
            <w:pPr>
              <w:jc w:val="left"/>
              <w:spacing w:after="0" w:line="240" w:lineRule="auto"/>
              <w:rPr>
                <w:sz w:val="24"/>
                <w:szCs w:val="24"/>
              </w:rPr>
            </w:pPr>
            <w:r>
              <w:rPr>
                <w:rFonts w:ascii="Times New Roman" w:hAnsi="Times New Roman" w:cs="Times New Roman"/>
                <w:color w:val="#000000"/>
                <w:sz w:val="24"/>
                <w:szCs w:val="24"/>
              </w:rPr>
              <w:t> умений разной степени сложности.</w:t>
            </w:r>
          </w:p>
          <w:p>
            <w:pPr>
              <w:jc w:val="left"/>
              <w:spacing w:after="0" w:line="240" w:lineRule="auto"/>
              <w:rPr>
                <w:sz w:val="24"/>
                <w:szCs w:val="24"/>
              </w:rPr>
            </w:pPr>
            <w:r>
              <w:rPr>
                <w:rFonts w:ascii="Times New Roman" w:hAnsi="Times New Roman" w:cs="Times New Roman"/>
                <w:color w:val="#000000"/>
                <w:sz w:val="24"/>
                <w:szCs w:val="24"/>
              </w:rPr>
              <w:t> 3.Индивидуально-психологические, личностные,</w:t>
            </w:r>
          </w:p>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причины затрудненного общения. 4. Когнитивно- эмоциональные и</w:t>
            </w:r>
          </w:p>
          <w:p>
            <w:pPr>
              <w:jc w:val="left"/>
              <w:spacing w:after="0" w:line="240" w:lineRule="auto"/>
              <w:rPr>
                <w:sz w:val="24"/>
                <w:szCs w:val="24"/>
              </w:rPr>
            </w:pPr>
            <w:r>
              <w:rPr>
                <w:rFonts w:ascii="Times New Roman" w:hAnsi="Times New Roman" w:cs="Times New Roman"/>
                <w:color w:val="#000000"/>
                <w:sz w:val="24"/>
                <w:szCs w:val="24"/>
              </w:rPr>
              <w:t> мотивационные трудности общения.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«Тренинг коммуникативной компетентности»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978-5-4487-0340-9.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Собольников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978-5-534-06957-0.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https://www.biblio-online.ru/bcode/432132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коммуникативной</w:t>
            </w:r>
            <w:r>
              <w:rPr/>
              <w:t xml:space="preserve"> </w:t>
            </w:r>
            <w:r>
              <w:rPr>
                <w:rFonts w:ascii="Times New Roman" w:hAnsi="Times New Roman" w:cs="Times New Roman"/>
                <w:color w:val="#000000"/>
                <w:sz w:val="24"/>
                <w:szCs w:val="24"/>
              </w:rPr>
              <w:t>компетенции</w:t>
            </w:r>
            <w:r>
              <w:rPr/>
              <w:t xml:space="preserve"> </w:t>
            </w:r>
            <w:r>
              <w:rPr>
                <w:rFonts w:ascii="Times New Roman" w:hAnsi="Times New Roman" w:cs="Times New Roman"/>
                <w:color w:val="#000000"/>
                <w:sz w:val="24"/>
                <w:szCs w:val="24"/>
              </w:rPr>
              <w:t>будущего</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коммуникативной</w:t>
            </w:r>
            <w:r>
              <w:rPr/>
              <w:t xml:space="preserve"> </w:t>
            </w:r>
          </w:p>
        </w:tc>
      </w:tr>
      <w:tr>
        <w:trPr>
          <w:trHeight w:hRule="exact" w:val="633.275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компетенции</w:t>
            </w:r>
            <w:r>
              <w:rPr/>
              <w:t xml:space="preserve"> </w:t>
            </w:r>
            <w:r>
              <w:rPr>
                <w:rFonts w:ascii="Times New Roman" w:hAnsi="Times New Roman" w:cs="Times New Roman"/>
                <w:color w:val="#000000"/>
                <w:sz w:val="24"/>
                <w:szCs w:val="24"/>
              </w:rPr>
              <w:t>будущего</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Саратовского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978-5-292-04487-1.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http://www.iprbookshop.ru/83579.html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коммуникативной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Садовская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Ремизов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https://urait.ru/bcode/436493</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41.7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2024-2025_ФГОС3++2024_Маг-ЗФО-ПО(Иннов)(24)_plx_Тренинг коммуникативной компетентности_Инновации в высшем образовании</dc:title>
  <dc:creator>FastReport.NET</dc:creator>
</cp:coreProperties>
</file>